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8D" w:rsidRPr="00E9188D" w:rsidRDefault="00E9188D" w:rsidP="00E9188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0E7754">
        <w:rPr>
          <w:rFonts w:ascii="Arial" w:eastAsiaTheme="minorHAnsi" w:hAnsi="Arial"/>
          <w:b/>
          <w:sz w:val="24"/>
          <w:szCs w:val="22"/>
          <w:lang w:val="id-ID"/>
        </w:rPr>
        <w:t>2019</w:t>
      </w:r>
    </w:p>
    <w:p w:rsidR="00E9188D" w:rsidRPr="00560E67" w:rsidRDefault="000F0D43" w:rsidP="00E9188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PETUGAS LISTRIK DAN JARINGAN</w:t>
      </w:r>
    </w:p>
    <w:p w:rsidR="00E9188D" w:rsidRPr="00560E67" w:rsidRDefault="00E9188D" w:rsidP="00E9188D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E9188D" w:rsidRPr="00560E67" w:rsidRDefault="00E9188D" w:rsidP="00E9188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A.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>
        <w:rPr>
          <w:rFonts w:ascii="Arial" w:eastAsiaTheme="minorHAnsi" w:hAnsi="Arial"/>
          <w:sz w:val="24"/>
          <w:szCs w:val="24"/>
        </w:rPr>
        <w:t>Petugas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Kebersihan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E9188D" w:rsidRPr="00560E67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B.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menjaga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sumber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daya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instalasi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listrik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>
        <w:rPr>
          <w:rFonts w:ascii="Arial" w:eastAsiaTheme="minorHAnsi" w:hAnsi="Arial"/>
          <w:sz w:val="24"/>
          <w:szCs w:val="24"/>
        </w:rPr>
        <w:t>sekitar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Gedung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Kantor </w:t>
      </w:r>
      <w:proofErr w:type="spellStart"/>
      <w:r>
        <w:rPr>
          <w:rFonts w:ascii="Arial" w:eastAsiaTheme="minorHAnsi" w:hAnsi="Arial"/>
          <w:sz w:val="24"/>
          <w:szCs w:val="24"/>
        </w:rPr>
        <w:t>Bupati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Kabupaten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E9188D" w:rsidRPr="00560E67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C.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0E7754">
        <w:rPr>
          <w:rFonts w:ascii="Arial" w:eastAsiaTheme="minorHAnsi" w:hAnsi="Arial"/>
          <w:sz w:val="24"/>
          <w:szCs w:val="24"/>
          <w:lang w:val="id-ID"/>
        </w:rPr>
        <w:t>2019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E9188D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E9188D" w:rsidRPr="004627D4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Mengidupkan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mematikan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area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perkantoran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pendopo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taman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peringgitan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rumah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dinas</w:t>
      </w:r>
      <w:proofErr w:type="spellEnd"/>
    </w:p>
    <w:p w:rsidR="00E9188D" w:rsidRPr="004627D4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Memeriksa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taman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halaman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kantor</w:t>
      </w:r>
      <w:proofErr w:type="spellEnd"/>
    </w:p>
    <w:p w:rsidR="00E9188D" w:rsidRPr="004627D4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Memperbaiki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lampu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jaringan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di areal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pendopo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dan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perkantoran</w:t>
      </w:r>
      <w:proofErr w:type="spellEnd"/>
    </w:p>
    <w:p w:rsidR="00E9188D" w:rsidRPr="008465C0" w:rsidRDefault="00E9188D" w:rsidP="00E9188D">
      <w:pPr>
        <w:pStyle w:val="ListParagraph"/>
        <w:numPr>
          <w:ilvl w:val="0"/>
          <w:numId w:val="3"/>
        </w:numPr>
        <w:spacing w:before="120" w:after="0" w:line="240" w:lineRule="auto"/>
        <w:ind w:left="1418" w:hanging="426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4627D4">
        <w:rPr>
          <w:rFonts w:ascii="Arial" w:eastAsiaTheme="minorHAnsi" w:hAnsi="Arial"/>
          <w:sz w:val="24"/>
          <w:szCs w:val="24"/>
        </w:rPr>
        <w:t>Menginventarisir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peralatan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4627D4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4627D4">
        <w:rPr>
          <w:rFonts w:ascii="Arial" w:eastAsiaTheme="minorHAnsi" w:hAnsi="Arial"/>
          <w:sz w:val="24"/>
          <w:szCs w:val="24"/>
        </w:rPr>
        <w:t>rusak</w:t>
      </w:r>
      <w:proofErr w:type="spellEnd"/>
    </w:p>
    <w:p w:rsidR="00E9188D" w:rsidRPr="00E9188D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</w:rPr>
      </w:pPr>
      <w:r>
        <w:rPr>
          <w:rFonts w:ascii="Arial" w:eastAsiaTheme="minorHAnsi" w:hAnsi="Arial"/>
          <w:b/>
          <w:sz w:val="24"/>
          <w:szCs w:val="24"/>
        </w:rPr>
        <w:t>D.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Perencanaan</w:t>
      </w:r>
      <w:r>
        <w:rPr>
          <w:rFonts w:ascii="Arial" w:eastAsiaTheme="minorHAnsi" w:hAnsi="Arial"/>
          <w:b/>
          <w:sz w:val="24"/>
          <w:szCs w:val="24"/>
          <w:lang w:val="id-ID"/>
        </w:rPr>
        <w:t xml:space="preserve"> / Perjanjian Kinerja Tahun </w:t>
      </w:r>
      <w:r w:rsidR="000E7754">
        <w:rPr>
          <w:rFonts w:ascii="Arial" w:eastAsiaTheme="minorHAnsi" w:hAnsi="Arial"/>
          <w:b/>
          <w:sz w:val="24"/>
          <w:szCs w:val="24"/>
          <w:lang w:val="id-ID"/>
        </w:rPr>
        <w:t>2019</w:t>
      </w:r>
    </w:p>
    <w:p w:rsidR="00E9188D" w:rsidRPr="00560E67" w:rsidRDefault="00E9188D" w:rsidP="00E9188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1"/>
        <w:gridCol w:w="2934"/>
        <w:gridCol w:w="3380"/>
        <w:gridCol w:w="1846"/>
      </w:tblGrid>
      <w:tr w:rsidR="00E9188D" w:rsidRPr="00560E67" w:rsidTr="00594747">
        <w:trPr>
          <w:tblHeader/>
        </w:trPr>
        <w:tc>
          <w:tcPr>
            <w:tcW w:w="693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E9188D" w:rsidRPr="00560E67" w:rsidTr="00594747">
        <w:trPr>
          <w:trHeight w:val="1096"/>
        </w:trPr>
        <w:tc>
          <w:tcPr>
            <w:tcW w:w="693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E9188D" w:rsidRPr="009604CA" w:rsidRDefault="00481FB5" w:rsidP="0059474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gedung,halaman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3402" w:type="dxa"/>
          </w:tcPr>
          <w:p w:rsidR="00E9188D" w:rsidRPr="009604CA" w:rsidRDefault="00156816" w:rsidP="0059474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gedung,halaman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3770" w:rsidRPr="00063770"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1861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</w:tr>
    </w:tbl>
    <w:p w:rsidR="00E9188D" w:rsidRPr="0086782F" w:rsidRDefault="00E9188D" w:rsidP="00E9188D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</w:rPr>
      </w:pPr>
    </w:p>
    <w:p w:rsidR="00E9188D" w:rsidRPr="00560E67" w:rsidRDefault="00E9188D" w:rsidP="00E9188D">
      <w:pPr>
        <w:tabs>
          <w:tab w:val="left" w:pos="709"/>
        </w:tabs>
        <w:spacing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>E.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E9188D" w:rsidRPr="00560E67" w:rsidRDefault="00E9188D" w:rsidP="00E9188D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1168" w:type="dxa"/>
        <w:tblLook w:val="04A0" w:firstRow="1" w:lastRow="0" w:firstColumn="1" w:lastColumn="0" w:noHBand="0" w:noVBand="1"/>
      </w:tblPr>
      <w:tblGrid>
        <w:gridCol w:w="552"/>
        <w:gridCol w:w="2074"/>
        <w:gridCol w:w="1701"/>
        <w:gridCol w:w="1134"/>
        <w:gridCol w:w="1276"/>
        <w:gridCol w:w="1417"/>
      </w:tblGrid>
      <w:tr w:rsidR="00E9188D" w:rsidRPr="00560E67" w:rsidTr="00594747">
        <w:tc>
          <w:tcPr>
            <w:tcW w:w="552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074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701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417" w:type="dxa"/>
          </w:tcPr>
          <w:p w:rsidR="00E9188D" w:rsidRPr="00560E67" w:rsidRDefault="00E9188D" w:rsidP="0059474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E9188D" w:rsidRPr="00560E67" w:rsidTr="00594747">
        <w:trPr>
          <w:trHeight w:val="1138"/>
        </w:trPr>
        <w:tc>
          <w:tcPr>
            <w:tcW w:w="552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74" w:type="dxa"/>
          </w:tcPr>
          <w:p w:rsidR="00E9188D" w:rsidRPr="009604CA" w:rsidRDefault="00E9188D" w:rsidP="0059474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Pemeliharaan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Instalasi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</w:p>
        </w:tc>
        <w:tc>
          <w:tcPr>
            <w:tcW w:w="1701" w:type="dxa"/>
          </w:tcPr>
          <w:p w:rsidR="00E9188D" w:rsidRPr="009604CA" w:rsidRDefault="00E9188D" w:rsidP="0059474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perawatan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komponen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instalasi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276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365 kali</w:t>
            </w:r>
          </w:p>
        </w:tc>
        <w:tc>
          <w:tcPr>
            <w:tcW w:w="1417" w:type="dxa"/>
          </w:tcPr>
          <w:p w:rsidR="00E9188D" w:rsidRPr="00560E67" w:rsidRDefault="00E9188D" w:rsidP="0059474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E9188D" w:rsidRPr="00560E67" w:rsidRDefault="00E9188D" w:rsidP="00E9188D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>
        <w:rPr>
          <w:rFonts w:ascii="Arial" w:eastAsiaTheme="minorHAnsi" w:hAnsi="Arial"/>
          <w:sz w:val="24"/>
          <w:szCs w:val="24"/>
        </w:rPr>
        <w:t>Kebersihan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dan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keindahan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halaman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E9188D" w:rsidRPr="008465C0" w:rsidRDefault="00E9188D" w:rsidP="00E9188D">
      <w:pPr>
        <w:pStyle w:val="ListParagraph"/>
        <w:numPr>
          <w:ilvl w:val="0"/>
          <w:numId w:val="2"/>
        </w:numPr>
        <w:tabs>
          <w:tab w:val="left" w:pos="-426"/>
        </w:tabs>
        <w:spacing w:before="120" w:after="0" w:line="240" w:lineRule="auto"/>
        <w:ind w:left="993" w:firstLine="0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  <w:proofErr w:type="spellStart"/>
      <w:r w:rsidRPr="008465C0">
        <w:rPr>
          <w:rFonts w:ascii="Arial" w:hAnsi="Arial"/>
          <w:sz w:val="24"/>
          <w:szCs w:val="24"/>
        </w:rPr>
        <w:t>Jumlah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perawatan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komponen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instalasi</w:t>
      </w:r>
      <w:proofErr w:type="spellEnd"/>
      <w:r w:rsidRPr="008465C0">
        <w:rPr>
          <w:rFonts w:ascii="Arial" w:hAnsi="Arial"/>
          <w:sz w:val="24"/>
          <w:szCs w:val="24"/>
        </w:rPr>
        <w:t xml:space="preserve"> </w:t>
      </w:r>
      <w:proofErr w:type="spellStart"/>
      <w:r w:rsidRPr="008465C0">
        <w:rPr>
          <w:rFonts w:ascii="Arial" w:hAnsi="Arial"/>
          <w:sz w:val="24"/>
          <w:szCs w:val="24"/>
        </w:rPr>
        <w:t>listrik</w:t>
      </w:r>
      <w:proofErr w:type="spellEnd"/>
      <w:r w:rsidRPr="008465C0">
        <w:rPr>
          <w:rFonts w:ascii="Arial" w:eastAsiaTheme="minorHAnsi" w:hAnsi="Arial"/>
          <w:color w:val="FF0000"/>
          <w:sz w:val="24"/>
          <w:szCs w:val="24"/>
        </w:rPr>
        <w:t xml:space="preserve"> </w:t>
      </w:r>
      <w:proofErr w:type="spellStart"/>
      <w:r w:rsidRPr="008465C0">
        <w:rPr>
          <w:rFonts w:ascii="Arial" w:eastAsiaTheme="minorHAnsi" w:hAnsi="Arial"/>
          <w:sz w:val="24"/>
          <w:szCs w:val="24"/>
        </w:rPr>
        <w:t>sebanyak</w:t>
      </w:r>
      <w:proofErr w:type="spellEnd"/>
      <w:r w:rsidRPr="008465C0">
        <w:rPr>
          <w:rFonts w:ascii="Arial" w:eastAsiaTheme="minorHAnsi" w:hAnsi="Arial"/>
          <w:sz w:val="24"/>
          <w:szCs w:val="24"/>
        </w:rPr>
        <w:t xml:space="preserve"> 365 kali;</w:t>
      </w:r>
      <w:r w:rsidRPr="008465C0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E9188D" w:rsidRPr="008465C0" w:rsidRDefault="00E9188D" w:rsidP="00E9188D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color w:val="FF0000"/>
          <w:sz w:val="24"/>
          <w:szCs w:val="24"/>
          <w:lang w:val="id-ID"/>
        </w:rPr>
      </w:pPr>
    </w:p>
    <w:p w:rsidR="00E9188D" w:rsidRPr="00EB7679" w:rsidRDefault="00E9188D" w:rsidP="00E9188D">
      <w:pPr>
        <w:pStyle w:val="ListParagraph"/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E9188D" w:rsidRDefault="00E9188D" w:rsidP="00E9188D">
      <w:pPr>
        <w:tabs>
          <w:tab w:val="left" w:pos="-426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menjaga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sumber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daya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dan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instalasi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listrik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sekitar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Gedung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Kantor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Bupati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Malang.</w:t>
      </w:r>
    </w:p>
    <w:p w:rsidR="00E9188D" w:rsidRDefault="00E9188D" w:rsidP="00E9188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</w:p>
    <w:p w:rsidR="00E9188D" w:rsidRPr="00560E67" w:rsidRDefault="00E9188D" w:rsidP="00E9188D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F.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E9188D" w:rsidRPr="00560E67" w:rsidRDefault="00E9188D" w:rsidP="00E9188D">
      <w:pPr>
        <w:tabs>
          <w:tab w:val="left" w:pos="-1418"/>
        </w:tabs>
        <w:spacing w:before="120" w:after="0" w:line="240" w:lineRule="auto"/>
        <w:ind w:left="993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E9188D" w:rsidRPr="00EB7679" w:rsidRDefault="00E9188D" w:rsidP="00E9188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EB7679">
        <w:rPr>
          <w:rFonts w:ascii="Arial" w:eastAsiaTheme="minorHAnsi" w:hAnsi="Arial"/>
          <w:sz w:val="24"/>
          <w:szCs w:val="24"/>
        </w:rPr>
        <w:t>d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EB7679">
        <w:rPr>
          <w:rFonts w:ascii="Arial" w:eastAsiaTheme="minorHAnsi" w:hAnsi="Arial"/>
          <w:sz w:val="24"/>
          <w:szCs w:val="24"/>
        </w:rPr>
        <w:t>;</w:t>
      </w:r>
    </w:p>
    <w:p w:rsidR="00E9188D" w:rsidRPr="00EB7679" w:rsidRDefault="00E9188D" w:rsidP="00E9188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EB7679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Umum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Malang;</w:t>
      </w:r>
    </w:p>
    <w:p w:rsidR="00E9188D" w:rsidRPr="00502848" w:rsidRDefault="00E9188D" w:rsidP="00E9188D">
      <w:pPr>
        <w:pStyle w:val="ListParagraph"/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antar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staf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OPD 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EB7679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EB7679">
        <w:rPr>
          <w:rFonts w:ascii="Arial" w:eastAsiaTheme="minorHAnsi" w:hAnsi="Arial"/>
          <w:sz w:val="24"/>
          <w:szCs w:val="24"/>
        </w:rPr>
        <w:t xml:space="preserve"> </w:t>
      </w:r>
      <w:r w:rsidRPr="00EB7679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EB7679">
        <w:rPr>
          <w:rFonts w:ascii="Arial" w:eastAsiaTheme="minorHAnsi" w:hAnsi="Arial"/>
          <w:sz w:val="24"/>
          <w:szCs w:val="24"/>
        </w:rPr>
        <w:t>.</w:t>
      </w:r>
      <w:r w:rsidRPr="00EB7679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E9188D" w:rsidRPr="00560E67" w:rsidRDefault="00E9188D" w:rsidP="00E9188D">
      <w:pPr>
        <w:tabs>
          <w:tab w:val="left" w:pos="709"/>
        </w:tabs>
        <w:spacing w:before="240" w:after="0" w:line="240" w:lineRule="auto"/>
        <w:ind w:left="36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>
        <w:rPr>
          <w:rFonts w:ascii="Arial" w:eastAsiaTheme="minorHAnsi" w:hAnsi="Arial"/>
          <w:b/>
          <w:sz w:val="24"/>
          <w:szCs w:val="24"/>
        </w:rPr>
        <w:t xml:space="preserve">   G. </w:t>
      </w: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E9188D" w:rsidRPr="00560E67" w:rsidRDefault="00E9188D" w:rsidP="00E9188D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E9188D" w:rsidRPr="000E7754" w:rsidRDefault="00E9188D" w:rsidP="00E9188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</w:t>
      </w:r>
      <w:bookmarkStart w:id="0" w:name="_GoBack"/>
      <w:bookmarkEnd w:id="0"/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</w:t>
      </w:r>
      <w:r w:rsidR="000E7754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E9188D" w:rsidRPr="00F06FAA" w:rsidRDefault="00E9188D" w:rsidP="00E9188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E9188D" w:rsidRPr="00F06FAA" w:rsidRDefault="00E9188D" w:rsidP="00E9188D">
      <w:pPr>
        <w:spacing w:after="160" w:line="240" w:lineRule="auto"/>
        <w:ind w:left="993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</w:t>
      </w:r>
    </w:p>
    <w:p w:rsidR="00E9188D" w:rsidRPr="00560E67" w:rsidRDefault="00E9188D" w:rsidP="00E9188D">
      <w:pPr>
        <w:spacing w:before="240" w:after="160" w:line="240" w:lineRule="auto"/>
        <w:ind w:left="993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Petugas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listrik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dan</w:t>
      </w:r>
      <w:proofErr w:type="spellEnd"/>
      <w:r w:rsidR="000F0D43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0F0D43">
        <w:rPr>
          <w:rFonts w:ascii="Arial" w:eastAsiaTheme="minorHAnsi" w:hAnsi="Arial"/>
          <w:sz w:val="24"/>
          <w:szCs w:val="24"/>
        </w:rPr>
        <w:t>Jaringan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E9188D" w:rsidRPr="00560E67" w:rsidRDefault="00E9188D" w:rsidP="00E9188D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E9188D" w:rsidRPr="00560E67" w:rsidTr="00594747">
        <w:trPr>
          <w:trHeight w:val="2589"/>
        </w:trPr>
        <w:tc>
          <w:tcPr>
            <w:tcW w:w="4644" w:type="dxa"/>
          </w:tcPr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B41E35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E9188D" w:rsidRPr="000E7754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 w:rsidR="000E7754"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E9188D" w:rsidRPr="00560E67" w:rsidRDefault="00E9188D" w:rsidP="00594747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E9188D" w:rsidRPr="007D4459" w:rsidRDefault="000E7754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E9188D"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, </w:t>
            </w:r>
            <w:r w:rsidR="00594747">
              <w:rPr>
                <w:rFonts w:ascii="Arial" w:eastAsiaTheme="minorHAnsi" w:hAnsi="Arial"/>
                <w:sz w:val="24"/>
                <w:szCs w:val="24"/>
              </w:rPr>
              <w:t xml:space="preserve">17 </w:t>
            </w:r>
            <w:r w:rsidR="00E9188D"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Januari </w: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t>20</w:t>
            </w:r>
            <w:r w:rsidR="007D4459">
              <w:rPr>
                <w:rFonts w:ascii="Arial" w:eastAsiaTheme="minorHAnsi" w:hAnsi="Arial"/>
                <w:sz w:val="24"/>
                <w:szCs w:val="24"/>
              </w:rPr>
              <w:t>20</w:t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E9188D" w:rsidRPr="00560E6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instrText xml:space="preserve"> MERGEFIELD JABATAN_ATAS </w:instrTex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separate"/>
            </w:r>
            <w:r w:rsidR="007D4459" w:rsidRPr="00B51C11">
              <w:rPr>
                <w:rFonts w:ascii="Arial" w:eastAsiaTheme="minorHAnsi" w:hAnsi="Arial"/>
                <w:b/>
                <w:noProof/>
                <w:sz w:val="24"/>
                <w:szCs w:val="24"/>
              </w:rPr>
              <w:t>PRAMUBAKTI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fldChar w:fldCharType="end"/>
            </w: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E9188D" w:rsidRPr="00560E67" w:rsidRDefault="00E9188D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begin"/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instrText xml:space="preserve"> MERGEFIELD NAMA_BAWAH </w:instrTex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separate"/>
            </w:r>
            <w:r w:rsidR="007D4459" w:rsidRPr="00B51C11">
              <w:rPr>
                <w:rFonts w:ascii="Arial" w:eastAsiaTheme="minorHAnsi" w:hAnsi="Arial"/>
                <w:b/>
                <w:noProof/>
                <w:sz w:val="24"/>
                <w:szCs w:val="24"/>
                <w:u w:val="single"/>
              </w:rPr>
              <w:t>MOHAMMAD HOLIK</w:t>
            </w: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fldChar w:fldCharType="end"/>
            </w:r>
          </w:p>
          <w:p w:rsidR="0059474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</w:rPr>
              <w:instrText xml:space="preserve"> MERGEFIELD PANGKAT </w:instrText>
            </w:r>
            <w:r>
              <w:rPr>
                <w:rFonts w:ascii="Arial" w:eastAsiaTheme="minorHAnsi" w:hAnsi="Arial"/>
                <w:sz w:val="24"/>
                <w:szCs w:val="24"/>
              </w:rPr>
              <w:fldChar w:fldCharType="end"/>
            </w:r>
          </w:p>
          <w:p w:rsidR="00E9188D" w:rsidRPr="00560E67" w:rsidRDefault="00594747" w:rsidP="0059474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begin"/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instrText xml:space="preserve"> MERGEFIELD NIP </w:instrText>
            </w:r>
            <w:r>
              <w:rPr>
                <w:rFonts w:ascii="Arial" w:eastAsiaTheme="minorHAnsi" w:hAnsi="Arial"/>
                <w:sz w:val="24"/>
                <w:szCs w:val="24"/>
                <w:lang w:val="id-ID"/>
              </w:rPr>
              <w:fldChar w:fldCharType="end"/>
            </w:r>
          </w:p>
        </w:tc>
      </w:tr>
    </w:tbl>
    <w:p w:rsidR="001B6CDB" w:rsidRDefault="001B6CDB"/>
    <w:sectPr w:rsidR="001B6CDB" w:rsidSect="000D7F7A">
      <w:pgSz w:w="12191" w:h="18711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C36B3"/>
    <w:multiLevelType w:val="hybridMultilevel"/>
    <w:tmpl w:val="4642BD6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25365C"/>
    <w:multiLevelType w:val="hybridMultilevel"/>
    <w:tmpl w:val="3B9C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A3074F"/>
    <w:multiLevelType w:val="hybridMultilevel"/>
    <w:tmpl w:val="4BEAAAB2"/>
    <w:lvl w:ilvl="0" w:tplc="EBEE86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JAKIN 2020$'`"/>
    <w:dataSource r:id="rId1"/>
    <w:viewMergedData/>
    <w:activeRecord w:val="110"/>
    <w:odso>
      <w:udl w:val="Provider=Microsoft.ACE.OLEDB.12.0;User ID=Admin;Data Source=F:\GANENDRA\JAKIN COMPLIT 2020\DAFTAR STAF JAKIN 2020(JANUARI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JAKIN 2020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CB"/>
    <w:rsid w:val="00063770"/>
    <w:rsid w:val="000D7F7A"/>
    <w:rsid w:val="000E7754"/>
    <w:rsid w:val="000F0D43"/>
    <w:rsid w:val="00156816"/>
    <w:rsid w:val="001B6CDB"/>
    <w:rsid w:val="002C2DDE"/>
    <w:rsid w:val="00383839"/>
    <w:rsid w:val="004067AB"/>
    <w:rsid w:val="00481FB5"/>
    <w:rsid w:val="005612A9"/>
    <w:rsid w:val="00594747"/>
    <w:rsid w:val="0060528E"/>
    <w:rsid w:val="00695F8E"/>
    <w:rsid w:val="007043CB"/>
    <w:rsid w:val="007062D4"/>
    <w:rsid w:val="007D4459"/>
    <w:rsid w:val="00857499"/>
    <w:rsid w:val="008B5C71"/>
    <w:rsid w:val="00AA3652"/>
    <w:rsid w:val="00DD24F4"/>
    <w:rsid w:val="00DF1ECE"/>
    <w:rsid w:val="00E9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88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88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GANENDRA\JAKIN%20COMPLIT%202020\DAFTAR%20STAF%20JAKIN%202020(JANUARI).xlsx" TargetMode="External"/><Relationship Id="rId1" Type="http://schemas.openxmlformats.org/officeDocument/2006/relationships/mailMergeSource" Target="file:///F:\GANENDRA\JAKIN%20COMPLIT%202020\DAFTAR%20STAF%20JAKIN%202020(JANUARI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D44F-EB5D-4DD6-895D-F98F9C28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3</cp:revision>
  <cp:lastPrinted>2020-01-09T06:37:00Z</cp:lastPrinted>
  <dcterms:created xsi:type="dcterms:W3CDTF">2019-08-26T05:58:00Z</dcterms:created>
  <dcterms:modified xsi:type="dcterms:W3CDTF">2020-01-09T06:41:00Z</dcterms:modified>
</cp:coreProperties>
</file>