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B9" w:rsidRDefault="008862B9" w:rsidP="008862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>LAPORAN KINERJA TAHUN 201</w:t>
      </w:r>
      <w:r>
        <w:rPr>
          <w:rFonts w:ascii="Arial" w:hAnsi="Arial" w:cs="Arial"/>
          <w:b/>
          <w:sz w:val="24"/>
        </w:rPr>
        <w:t>9</w:t>
      </w:r>
    </w:p>
    <w:p w:rsidR="008862B9" w:rsidRDefault="008862B9" w:rsidP="008862B9">
      <w:pPr>
        <w:spacing w:after="0" w:line="240" w:lineRule="auto"/>
        <w:jc w:val="center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b/>
          <w:sz w:val="24"/>
          <w:lang w:val="id-ID"/>
        </w:rPr>
        <w:t xml:space="preserve">PENYUSUN NASKAH RAPAT PIMPINAN </w:t>
      </w:r>
    </w:p>
    <w:p w:rsidR="008862B9" w:rsidRDefault="008862B9" w:rsidP="008862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8862B9" w:rsidRDefault="008862B9" w:rsidP="008862B9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8862B9" w:rsidRDefault="008862B9" w:rsidP="008862B9">
      <w:pPr>
        <w:spacing w:after="0" w:line="240" w:lineRule="auto"/>
        <w:jc w:val="center"/>
        <w:rPr>
          <w:b/>
        </w:rPr>
      </w:pPr>
    </w:p>
    <w:p w:rsidR="008862B9" w:rsidRDefault="008862B9" w:rsidP="008862B9">
      <w:pPr>
        <w:spacing w:after="0" w:line="240" w:lineRule="auto"/>
        <w:jc w:val="center"/>
        <w:rPr>
          <w:b/>
        </w:rPr>
      </w:pPr>
    </w:p>
    <w:p w:rsidR="008862B9" w:rsidRDefault="008862B9" w:rsidP="008862B9">
      <w:pPr>
        <w:spacing w:after="0" w:line="240" w:lineRule="auto"/>
        <w:jc w:val="center"/>
        <w:rPr>
          <w:b/>
          <w:lang w:val="id-ID"/>
        </w:rPr>
      </w:pP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kepada </w:t>
      </w:r>
      <w:r>
        <w:rPr>
          <w:rFonts w:ascii="Arial" w:hAnsi="Arial" w:cs="Arial"/>
          <w:sz w:val="24"/>
          <w:szCs w:val="24"/>
          <w:lang w:val="id-ID"/>
        </w:rPr>
        <w:t xml:space="preserve">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teknis </w:t>
      </w:r>
      <w:r>
        <w:rPr>
          <w:rFonts w:ascii="Arial" w:hAnsi="Arial" w:cs="Arial"/>
          <w:sz w:val="24"/>
          <w:szCs w:val="24"/>
          <w:lang w:val="id-ID"/>
        </w:rPr>
        <w:t xml:space="preserve">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Tahun 201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hAnsi="Arial" w:cs="Arial"/>
          <w:sz w:val="24"/>
          <w:szCs w:val="24"/>
          <w:lang w:val="id-ID"/>
        </w:rPr>
        <w:t xml:space="preserve">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hAnsi="Arial" w:cs="Arial"/>
          <w:sz w:val="24"/>
          <w:szCs w:val="24"/>
          <w:lang w:val="id-ID"/>
        </w:rPr>
        <w:t xml:space="preserve">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hAnsi="Arial" w:cs="Arial"/>
          <w:sz w:val="24"/>
          <w:szCs w:val="24"/>
          <w:lang w:val="id-ID"/>
        </w:rPr>
        <w:t xml:space="preserve">Penyusun Naskah Rapat Pimpinan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dokumen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SPJ </w:t>
      </w:r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Meninventarisasi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rencana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kantor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8862B9" w:rsidRDefault="008862B9" w:rsidP="008862B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Melakukan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proses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kerumahtanggaan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dan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Rumah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Tangga</w:t>
      </w:r>
      <w:proofErr w:type="spellEnd"/>
    </w:p>
    <w:p w:rsidR="008862B9" w:rsidRDefault="008862B9" w:rsidP="008862B9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hAnsi="Arial" w:cs="Arial"/>
          <w:b/>
          <w:sz w:val="24"/>
          <w:szCs w:val="24"/>
        </w:rPr>
        <w:t>9</w:t>
      </w:r>
    </w:p>
    <w:p w:rsidR="008862B9" w:rsidRDefault="008862B9" w:rsidP="008862B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8862B9" w:rsidTr="008862B9">
        <w:trPr>
          <w:tblHeader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8862B9" w:rsidTr="008862B9"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-Jumlah laporan kegiatan yang disusun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SPJ</w:t>
            </w:r>
          </w:p>
        </w:tc>
      </w:tr>
      <w:tr w:rsidR="008862B9" w:rsidTr="008862B9"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dokumen</w:t>
            </w:r>
          </w:p>
        </w:tc>
      </w:tr>
    </w:tbl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8862B9" w:rsidRDefault="008862B9" w:rsidP="008862B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8862B9" w:rsidRDefault="008862B9" w:rsidP="008862B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31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8"/>
        <w:gridCol w:w="1626"/>
        <w:gridCol w:w="2555"/>
        <w:gridCol w:w="1699"/>
        <w:gridCol w:w="1560"/>
        <w:gridCol w:w="1277"/>
      </w:tblGrid>
      <w:tr w:rsidR="008862B9" w:rsidTr="008862B9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8862B9" w:rsidTr="008862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8862B9" w:rsidRDefault="008862B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 SPJ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 SPJ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100 %</w:t>
            </w:r>
          </w:p>
        </w:tc>
      </w:tr>
      <w:tr w:rsidR="008862B9" w:rsidTr="008862B9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B9" w:rsidRDefault="008862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kebutuhan barang pada Bagian Umum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 Dokumen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3 Dokumen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B9" w:rsidRDefault="008862B9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100 %</w:t>
            </w:r>
          </w:p>
        </w:tc>
      </w:tr>
    </w:tbl>
    <w:p w:rsidR="008862B9" w:rsidRDefault="008862B9" w:rsidP="008862B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8862B9" w:rsidRDefault="008862B9" w:rsidP="008862B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8862B9" w:rsidRDefault="008862B9" w:rsidP="008862B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8862B9" w:rsidRDefault="008862B9" w:rsidP="008862B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8862B9" w:rsidRDefault="008862B9" w:rsidP="008862B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8862B9" w:rsidRDefault="008862B9" w:rsidP="008862B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8862B9" w:rsidRDefault="008862B9" w:rsidP="008862B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8862B9" w:rsidRDefault="008862B9" w:rsidP="008862B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8862B9" w:rsidRDefault="008862B9" w:rsidP="008862B9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8862B9" w:rsidRDefault="008862B9" w:rsidP="008862B9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8862B9" w:rsidRDefault="008862B9" w:rsidP="008862B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hAnsi="Arial" w:cs="Arial"/>
          <w:sz w:val="24"/>
          <w:szCs w:val="24"/>
          <w:lang w:val="id-ID"/>
        </w:rPr>
        <w:t xml:space="preserve">Penyusun Naskah Rapat Pimpinan </w:t>
      </w:r>
      <w:r>
        <w:rPr>
          <w:rFonts w:ascii="Arial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8862B9" w:rsidRDefault="008862B9" w:rsidP="008862B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8862B9" w:rsidTr="008862B9">
        <w:trPr>
          <w:trHeight w:val="2589"/>
        </w:trPr>
        <w:tc>
          <w:tcPr>
            <w:tcW w:w="4644" w:type="dxa"/>
          </w:tcPr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8862B9" w:rsidRDefault="008862B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,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t xml:space="preserve">PENYUSUN NASKAH RAPAT PIMPINAN </w: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IRMAYA TRIASIH</w:t>
            </w:r>
          </w:p>
          <w:p w:rsidR="008862B9" w:rsidRDefault="008862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</w:tbl>
    <w:p w:rsidR="008862B9" w:rsidRDefault="008862B9" w:rsidP="008862B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862B9" w:rsidRDefault="008862B9" w:rsidP="008862B9">
      <w:pPr>
        <w:spacing w:after="160" w:line="254" w:lineRule="auto"/>
        <w:rPr>
          <w:lang w:val="id-ID"/>
        </w:rPr>
      </w:pPr>
    </w:p>
    <w:p w:rsidR="008862B9" w:rsidRDefault="008862B9" w:rsidP="008862B9"/>
    <w:p w:rsidR="008862B9" w:rsidRDefault="008862B9" w:rsidP="008862B9"/>
    <w:p w:rsidR="008F19CC" w:rsidRDefault="008F19CC">
      <w:bookmarkStart w:id="0" w:name="_GoBack"/>
      <w:bookmarkEnd w:id="0"/>
    </w:p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97"/>
    <w:rsid w:val="006422F4"/>
    <w:rsid w:val="008862B9"/>
    <w:rsid w:val="008F19CC"/>
    <w:rsid w:val="00AD7C97"/>
    <w:rsid w:val="00C1142A"/>
    <w:rsid w:val="00D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2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8862B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2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8862B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Bagian Umum</dc:creator>
  <cp:keywords/>
  <dc:description/>
  <cp:lastModifiedBy>Bagian Umum</cp:lastModifiedBy>
  <cp:revision>2</cp:revision>
  <dcterms:created xsi:type="dcterms:W3CDTF">2019-10-18T02:17:00Z</dcterms:created>
  <dcterms:modified xsi:type="dcterms:W3CDTF">2019-10-18T04:30:00Z</dcterms:modified>
</cp:coreProperties>
</file>