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A117A6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A24C7E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 xml:space="preserve">PENGEMUDI 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A24C7E">
        <w:rPr>
          <w:rFonts w:ascii="Arial" w:eastAsiaTheme="minorHAnsi" w:hAnsi="Arial"/>
          <w:sz w:val="24"/>
          <w:szCs w:val="24"/>
        </w:rPr>
        <w:t>Pengemudi</w:t>
      </w:r>
      <w:proofErr w:type="spellEnd"/>
      <w:r w:rsidR="00A24C7E">
        <w:rPr>
          <w:rFonts w:ascii="Arial" w:eastAsiaTheme="minorHAnsi" w:hAnsi="Arial"/>
          <w:sz w:val="24"/>
          <w:szCs w:val="24"/>
        </w:rPr>
        <w:t xml:space="preserve"> </w:t>
      </w:r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A24C7E">
        <w:rPr>
          <w:rFonts w:ascii="Arial" w:eastAsiaTheme="minorHAnsi" w:hAnsi="Arial"/>
          <w:sz w:val="24"/>
          <w:szCs w:val="24"/>
        </w:rPr>
        <w:t>Pengemudi</w:t>
      </w:r>
      <w:proofErr w:type="spellEnd"/>
      <w:r w:rsidR="00A24C7E">
        <w:rPr>
          <w:rFonts w:ascii="Arial" w:eastAsiaTheme="minorHAnsi" w:hAnsi="Arial"/>
          <w:sz w:val="24"/>
          <w:szCs w:val="24"/>
        </w:rPr>
        <w:t xml:space="preserve"> </w:t>
      </w:r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memberikan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pelayanan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kegiatan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membersihkan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lingkungan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dikelola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Bagian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A117A6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A24C7E">
        <w:rPr>
          <w:rFonts w:ascii="Arial" w:eastAsiaTheme="minorHAnsi" w:hAnsi="Arial"/>
          <w:sz w:val="24"/>
          <w:szCs w:val="24"/>
        </w:rPr>
        <w:t>Pengemudi</w:t>
      </w:r>
      <w:proofErr w:type="spellEnd"/>
      <w:r w:rsidR="00A24C7E">
        <w:rPr>
          <w:rFonts w:ascii="Arial" w:eastAsiaTheme="minorHAnsi" w:hAnsi="Arial"/>
          <w:sz w:val="24"/>
          <w:szCs w:val="24"/>
        </w:rPr>
        <w:t xml:space="preserve"> </w:t>
      </w:r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9F1E0D" w:rsidRDefault="00560E67" w:rsidP="009F1E0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A24C7E">
        <w:rPr>
          <w:rFonts w:ascii="Arial" w:eastAsiaTheme="minorHAnsi" w:hAnsi="Arial"/>
          <w:sz w:val="24"/>
          <w:szCs w:val="24"/>
        </w:rPr>
        <w:t>Pengemudi</w:t>
      </w:r>
      <w:proofErr w:type="spellEnd"/>
      <w:r w:rsidR="00A24C7E">
        <w:rPr>
          <w:rFonts w:ascii="Arial" w:eastAsiaTheme="minorHAnsi" w:hAnsi="Arial"/>
          <w:sz w:val="24"/>
          <w:szCs w:val="24"/>
        </w:rPr>
        <w:t xml:space="preserve"> </w:t>
      </w:r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9F1E0D" w:rsidRDefault="00A24C7E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Mengantarkan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pimpinan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pada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tempat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tujuan</w:t>
      </w:r>
      <w:proofErr w:type="spellEnd"/>
    </w:p>
    <w:p w:rsidR="007C588C" w:rsidRDefault="00A24C7E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Melakukan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service </w:t>
      </w:r>
      <w:proofErr w:type="spellStart"/>
      <w:r>
        <w:rPr>
          <w:rFonts w:ascii="Arial" w:hAnsi="Arial"/>
          <w:color w:val="000000"/>
          <w:sz w:val="24"/>
          <w:szCs w:val="24"/>
        </w:rPr>
        <w:t>kendaraan</w:t>
      </w:r>
      <w:proofErr w:type="spellEnd"/>
    </w:p>
    <w:p w:rsidR="007C588C" w:rsidRDefault="00A24C7E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Mencuci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mobil</w:t>
      </w:r>
      <w:proofErr w:type="spellEnd"/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A117A6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4110"/>
        <w:gridCol w:w="1578"/>
      </w:tblGrid>
      <w:tr w:rsidR="00560E67" w:rsidRPr="00560E67" w:rsidTr="009D5FAF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4110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57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9D5FAF">
        <w:trPr>
          <w:trHeight w:val="736"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560E67" w:rsidRPr="00F33C31" w:rsidRDefault="007C588C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10" w:type="dxa"/>
          </w:tcPr>
          <w:p w:rsidR="00560E67" w:rsidRPr="00F33C31" w:rsidRDefault="00560E67" w:rsidP="009D5FAF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 w:rsidR="009D5FAF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="009D5FAF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5FAF">
              <w:rPr>
                <w:rFonts w:ascii="Arial" w:hAnsi="Arial"/>
                <w:sz w:val="24"/>
                <w:szCs w:val="24"/>
                <w:lang w:val="en-US"/>
              </w:rPr>
              <w:t>membersihkan</w:t>
            </w:r>
            <w:proofErr w:type="spellEnd"/>
            <w:r w:rsidR="009D5FAF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5FAF">
              <w:rPr>
                <w:rFonts w:ascii="Arial" w:hAnsi="Arial"/>
                <w:sz w:val="24"/>
                <w:szCs w:val="24"/>
                <w:lang w:val="en-US"/>
              </w:rPr>
              <w:t>lingkungan</w:t>
            </w:r>
            <w:proofErr w:type="spellEnd"/>
            <w:r w:rsidR="009D5FAF">
              <w:rPr>
                <w:rFonts w:ascii="Arial" w:hAnsi="Arial"/>
                <w:sz w:val="24"/>
                <w:szCs w:val="24"/>
                <w:lang w:val="en-US"/>
              </w:rPr>
              <w:t xml:space="preserve"> yang di </w:t>
            </w:r>
            <w:proofErr w:type="spellStart"/>
            <w:r w:rsidR="009D5FAF">
              <w:rPr>
                <w:rFonts w:ascii="Arial" w:hAnsi="Arial"/>
                <w:sz w:val="24"/>
                <w:szCs w:val="24"/>
                <w:lang w:val="en-US"/>
              </w:rPr>
              <w:t>kelola</w:t>
            </w:r>
            <w:proofErr w:type="spellEnd"/>
            <w:r w:rsidR="009D5FAF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5FAF"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 w:rsidR="009D5FAF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5FAF"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 w:rsidR="005B06C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6C5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5B06C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6C5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5B06C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6C5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578" w:type="dxa"/>
          </w:tcPr>
          <w:p w:rsidR="00560E67" w:rsidRPr="00F33C31" w:rsidRDefault="009D5FAF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Check list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B06C5" w:rsidRPr="005B06C5" w:rsidRDefault="005B06C5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bookmarkStart w:id="0" w:name="_GoBack"/>
      <w:bookmarkEnd w:id="0"/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99"/>
        <w:gridCol w:w="1624"/>
        <w:gridCol w:w="2694"/>
        <w:gridCol w:w="1417"/>
        <w:gridCol w:w="1276"/>
        <w:gridCol w:w="1294"/>
      </w:tblGrid>
      <w:tr w:rsidR="00560E67" w:rsidRPr="00560E67" w:rsidTr="00DC42D4">
        <w:trPr>
          <w:tblHeader/>
        </w:trPr>
        <w:tc>
          <w:tcPr>
            <w:tcW w:w="59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1624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694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41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6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94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9D5FAF" w:rsidRPr="00560E67" w:rsidTr="00DC42D4">
        <w:tc>
          <w:tcPr>
            <w:tcW w:w="599" w:type="dxa"/>
          </w:tcPr>
          <w:p w:rsidR="009D5FAF" w:rsidRPr="00560E67" w:rsidRDefault="009D5FAF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9D5FAF" w:rsidRPr="00560E67" w:rsidRDefault="009D5FAF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4" w:type="dxa"/>
          </w:tcPr>
          <w:p w:rsidR="009D5FAF" w:rsidRPr="00F33C31" w:rsidRDefault="009D5FAF" w:rsidP="00A43686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Kebersihan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4" w:type="dxa"/>
          </w:tcPr>
          <w:p w:rsidR="009D5FAF" w:rsidRPr="00F33C31" w:rsidRDefault="009D5FAF" w:rsidP="00A43686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membersihkan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di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kelola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Umum</w:t>
            </w:r>
            <w:proofErr w:type="spellEnd"/>
            <w:r w:rsidR="005B06C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6C5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5B06C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6C5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5B06C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06C5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417" w:type="dxa"/>
          </w:tcPr>
          <w:p w:rsidR="009D5FAF" w:rsidRPr="00F33C31" w:rsidRDefault="009D5FAF" w:rsidP="009D5FAF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76" w:type="dxa"/>
          </w:tcPr>
          <w:p w:rsidR="009D5FAF" w:rsidRPr="00560E67" w:rsidRDefault="009D5FAF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294" w:type="dxa"/>
          </w:tcPr>
          <w:p w:rsidR="006B7A4E" w:rsidRDefault="006B7A4E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9D5FAF" w:rsidRPr="00560E67" w:rsidRDefault="009D5FAF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560E67" w:rsidRPr="00560E67" w:rsidRDefault="00DC42D4" w:rsidP="00DC42D4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DC42D4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DC42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C42D4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DC42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C42D4">
        <w:rPr>
          <w:rFonts w:ascii="Arial" w:eastAsiaTheme="minorHAnsi" w:hAnsi="Arial"/>
          <w:sz w:val="24"/>
          <w:szCs w:val="24"/>
        </w:rPr>
        <w:t>membersihkan</w:t>
      </w:r>
      <w:proofErr w:type="spellEnd"/>
      <w:r w:rsidRPr="00DC42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C42D4">
        <w:rPr>
          <w:rFonts w:ascii="Arial" w:eastAsiaTheme="minorHAnsi" w:hAnsi="Arial"/>
          <w:sz w:val="24"/>
          <w:szCs w:val="24"/>
        </w:rPr>
        <w:t>lingkungan</w:t>
      </w:r>
      <w:proofErr w:type="spellEnd"/>
      <w:r w:rsidRPr="00DC42D4">
        <w:rPr>
          <w:rFonts w:ascii="Arial" w:eastAsiaTheme="minorHAnsi" w:hAnsi="Arial"/>
          <w:sz w:val="24"/>
          <w:szCs w:val="24"/>
        </w:rPr>
        <w:t xml:space="preserve"> yang di </w:t>
      </w:r>
      <w:proofErr w:type="spellStart"/>
      <w:r w:rsidRPr="00DC42D4">
        <w:rPr>
          <w:rFonts w:ascii="Arial" w:eastAsiaTheme="minorHAnsi" w:hAnsi="Arial"/>
          <w:sz w:val="24"/>
          <w:szCs w:val="24"/>
        </w:rPr>
        <w:t>kelola</w:t>
      </w:r>
      <w:proofErr w:type="spellEnd"/>
      <w:r w:rsidRPr="00DC42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C42D4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DC42D4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C42D4">
        <w:rPr>
          <w:rFonts w:ascii="Arial" w:eastAsiaTheme="minorHAnsi" w:hAnsi="Arial"/>
          <w:sz w:val="24"/>
          <w:szCs w:val="24"/>
        </w:rPr>
        <w:t>Umum</w:t>
      </w:r>
      <w:proofErr w:type="spellEnd"/>
      <w:r w:rsidR="00560E67" w:rsidRPr="00560E67">
        <w:rPr>
          <w:rFonts w:ascii="Arial" w:eastAsiaTheme="minorHAnsi" w:hAnsi="Arial"/>
          <w:sz w:val="24"/>
          <w:szCs w:val="24"/>
        </w:rPr>
        <w:t>;</w:t>
      </w:r>
      <w:r w:rsidR="00560E67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E6BEF" w:rsidRDefault="00DC42D4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DC42D4" w:rsidRDefault="00DC42D4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</w:rPr>
      </w:pPr>
    </w:p>
    <w:p w:rsidR="00560E67" w:rsidRPr="00560E67" w:rsidRDefault="00560E67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A24C7E">
        <w:rPr>
          <w:rFonts w:ascii="Arial" w:eastAsiaTheme="minorHAnsi" w:hAnsi="Arial"/>
          <w:sz w:val="24"/>
          <w:szCs w:val="24"/>
        </w:rPr>
        <w:t>Pengemudi</w:t>
      </w:r>
      <w:proofErr w:type="spellEnd"/>
      <w:r w:rsidR="00A24C7E">
        <w:rPr>
          <w:rFonts w:ascii="Arial" w:eastAsiaTheme="minorHAnsi" w:hAnsi="Arial"/>
          <w:sz w:val="24"/>
          <w:szCs w:val="24"/>
        </w:rPr>
        <w:t xml:space="preserve"> </w:t>
      </w:r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XSpec="center" w:tblpY="9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DC42D4" w:rsidRPr="00560E67" w:rsidTr="00DC42D4">
        <w:trPr>
          <w:trHeight w:val="2589"/>
        </w:trPr>
        <w:tc>
          <w:tcPr>
            <w:tcW w:w="4644" w:type="dxa"/>
          </w:tcPr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Default="00DC42D4" w:rsidP="00DC42D4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Default="00DC42D4" w:rsidP="00DC42D4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B41E35" w:rsidRDefault="00DC42D4" w:rsidP="00DC42D4">
            <w:pPr>
              <w:spacing w:after="0" w:line="240" w:lineRule="auto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DC42D4" w:rsidRPr="00560E67" w:rsidRDefault="00DC42D4" w:rsidP="00DC42D4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      Januari 201</w:t>
            </w:r>
            <w:r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DC42D4" w:rsidRPr="00560E67" w:rsidRDefault="00A24C7E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 xml:space="preserve">PENGEMUDI </w:t>
            </w: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DC42D4" w:rsidRPr="00560E67" w:rsidRDefault="00DC42D4" w:rsidP="00DC42D4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</w:tc>
      </w:tr>
    </w:tbl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4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7"/>
  </w:num>
  <w:num w:numId="5">
    <w:abstractNumId w:val="9"/>
  </w:num>
  <w:num w:numId="6">
    <w:abstractNumId w:val="12"/>
  </w:num>
  <w:num w:numId="7">
    <w:abstractNumId w:val="34"/>
  </w:num>
  <w:num w:numId="8">
    <w:abstractNumId w:val="4"/>
  </w:num>
  <w:num w:numId="9">
    <w:abstractNumId w:val="16"/>
  </w:num>
  <w:num w:numId="10">
    <w:abstractNumId w:val="19"/>
  </w:num>
  <w:num w:numId="11">
    <w:abstractNumId w:val="36"/>
  </w:num>
  <w:num w:numId="12">
    <w:abstractNumId w:val="10"/>
  </w:num>
  <w:num w:numId="13">
    <w:abstractNumId w:val="11"/>
  </w:num>
  <w:num w:numId="14">
    <w:abstractNumId w:val="37"/>
  </w:num>
  <w:num w:numId="15">
    <w:abstractNumId w:val="32"/>
  </w:num>
  <w:num w:numId="16">
    <w:abstractNumId w:val="2"/>
  </w:num>
  <w:num w:numId="17">
    <w:abstractNumId w:val="28"/>
  </w:num>
  <w:num w:numId="18">
    <w:abstractNumId w:val="21"/>
  </w:num>
  <w:num w:numId="19">
    <w:abstractNumId w:val="31"/>
  </w:num>
  <w:num w:numId="20">
    <w:abstractNumId w:val="13"/>
  </w:num>
  <w:num w:numId="21">
    <w:abstractNumId w:val="1"/>
  </w:num>
  <w:num w:numId="22">
    <w:abstractNumId w:val="8"/>
  </w:num>
  <w:num w:numId="23">
    <w:abstractNumId w:val="5"/>
  </w:num>
  <w:num w:numId="24">
    <w:abstractNumId w:val="27"/>
  </w:num>
  <w:num w:numId="25">
    <w:abstractNumId w:val="29"/>
  </w:num>
  <w:num w:numId="26">
    <w:abstractNumId w:val="18"/>
  </w:num>
  <w:num w:numId="27">
    <w:abstractNumId w:val="0"/>
  </w:num>
  <w:num w:numId="28">
    <w:abstractNumId w:val="2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22"/>
  </w:num>
  <w:num w:numId="36">
    <w:abstractNumId w:val="15"/>
  </w:num>
  <w:num w:numId="37">
    <w:abstractNumId w:val="3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0D54D2"/>
    <w:rsid w:val="0013657B"/>
    <w:rsid w:val="001B13D0"/>
    <w:rsid w:val="001B3F94"/>
    <w:rsid w:val="001B6CDB"/>
    <w:rsid w:val="001F1B5E"/>
    <w:rsid w:val="00202702"/>
    <w:rsid w:val="002163CC"/>
    <w:rsid w:val="00280FE9"/>
    <w:rsid w:val="002C2DDE"/>
    <w:rsid w:val="00383839"/>
    <w:rsid w:val="003D7CD5"/>
    <w:rsid w:val="003E6BEF"/>
    <w:rsid w:val="003F4EE1"/>
    <w:rsid w:val="00412994"/>
    <w:rsid w:val="004164CC"/>
    <w:rsid w:val="0043410C"/>
    <w:rsid w:val="00461487"/>
    <w:rsid w:val="00513C18"/>
    <w:rsid w:val="00560E67"/>
    <w:rsid w:val="005B06C5"/>
    <w:rsid w:val="005B7072"/>
    <w:rsid w:val="00635131"/>
    <w:rsid w:val="006370B3"/>
    <w:rsid w:val="00695F8E"/>
    <w:rsid w:val="006B1358"/>
    <w:rsid w:val="006B7A4E"/>
    <w:rsid w:val="00722AC5"/>
    <w:rsid w:val="007676FC"/>
    <w:rsid w:val="007A4877"/>
    <w:rsid w:val="007C588C"/>
    <w:rsid w:val="0086782F"/>
    <w:rsid w:val="008B5C71"/>
    <w:rsid w:val="009D5FAF"/>
    <w:rsid w:val="009F1E0D"/>
    <w:rsid w:val="00A117A6"/>
    <w:rsid w:val="00A24C7E"/>
    <w:rsid w:val="00B27754"/>
    <w:rsid w:val="00B41E35"/>
    <w:rsid w:val="00B70143"/>
    <w:rsid w:val="00BF7839"/>
    <w:rsid w:val="00C41725"/>
    <w:rsid w:val="00C55305"/>
    <w:rsid w:val="00CC2862"/>
    <w:rsid w:val="00CF4D93"/>
    <w:rsid w:val="00D85CD0"/>
    <w:rsid w:val="00D917EE"/>
    <w:rsid w:val="00DC42D4"/>
    <w:rsid w:val="00DD24F4"/>
    <w:rsid w:val="00DD2F39"/>
    <w:rsid w:val="00DD393C"/>
    <w:rsid w:val="00DD4027"/>
    <w:rsid w:val="00E079A9"/>
    <w:rsid w:val="00EA54DB"/>
    <w:rsid w:val="00F33C31"/>
    <w:rsid w:val="00F36EA5"/>
    <w:rsid w:val="00F7517B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D5CCC-EA80-4392-A007-A2532171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6</cp:revision>
  <cp:lastPrinted>2019-03-29T05:39:00Z</cp:lastPrinted>
  <dcterms:created xsi:type="dcterms:W3CDTF">2019-04-29T08:00:00Z</dcterms:created>
  <dcterms:modified xsi:type="dcterms:W3CDTF">2019-05-06T04:56:00Z</dcterms:modified>
</cp:coreProperties>
</file>